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F7CC" w14:textId="77777777" w:rsidR="00090606" w:rsidRDefault="008A7EC7">
      <w:pPr>
        <w:spacing w:before="71" w:after="19"/>
        <w:ind w:left="1000"/>
        <w:rPr>
          <w:rFonts w:ascii="Georgia"/>
          <w:b/>
          <w:sz w:val="28"/>
        </w:rPr>
      </w:pPr>
      <w:r>
        <w:rPr>
          <w:noProof/>
        </w:rPr>
        <w:drawing>
          <wp:anchor distT="0" distB="0" distL="0" distR="0" simplePos="0" relativeHeight="1048" behindDoc="0" locked="0" layoutInCell="1" allowOverlap="1" wp14:anchorId="57B0A41D" wp14:editId="54376448">
            <wp:simplePos x="0" y="0"/>
            <wp:positionH relativeFrom="page">
              <wp:posOffset>450850</wp:posOffset>
            </wp:positionH>
            <wp:positionV relativeFrom="paragraph">
              <wp:posOffset>49633</wp:posOffset>
            </wp:positionV>
            <wp:extent cx="452755" cy="779145"/>
            <wp:effectExtent l="0" t="0" r="4445"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2755" cy="779145"/>
                    </a:xfrm>
                    <a:prstGeom prst="rect">
                      <a:avLst/>
                    </a:prstGeom>
                  </pic:spPr>
                </pic:pic>
              </a:graphicData>
            </a:graphic>
          </wp:anchor>
        </w:drawing>
      </w:r>
      <w:r>
        <w:rPr>
          <w:rFonts w:ascii="Georgia"/>
          <w:b/>
          <w:sz w:val="28"/>
        </w:rPr>
        <w:t>Texas Commission 0n Environmental Quality</w:t>
      </w:r>
    </w:p>
    <w:p w14:paraId="3E5FF56C" w14:textId="63E637D4" w:rsidR="00090606" w:rsidRDefault="006F6E17">
      <w:pPr>
        <w:pStyle w:val="BodyText"/>
        <w:spacing w:line="20" w:lineRule="exact"/>
        <w:ind w:left="964"/>
        <w:rPr>
          <w:rFonts w:ascii="Georgia"/>
          <w:sz w:val="2"/>
        </w:rPr>
      </w:pPr>
      <w:r>
        <w:rPr>
          <w:rFonts w:ascii="Georgia"/>
          <w:noProof/>
          <w:sz w:val="2"/>
        </w:rPr>
        <mc:AlternateContent>
          <mc:Choice Requires="wpg">
            <w:drawing>
              <wp:inline distT="0" distB="0" distL="0" distR="0" wp14:anchorId="1B93EDAC" wp14:editId="6DB8C18D">
                <wp:extent cx="6333490" cy="9525"/>
                <wp:effectExtent l="5715" t="5715" r="444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9525"/>
                          <a:chOff x="0" y="0"/>
                          <a:chExt cx="9974" cy="15"/>
                        </a:xfrm>
                      </wpg:grpSpPr>
                      <wps:wsp>
                        <wps:cNvPr id="3" name="Line 3"/>
                        <wps:cNvCnPr>
                          <a:cxnSpLocks noChangeShapeType="1"/>
                        </wps:cNvCnPr>
                        <wps:spPr bwMode="auto">
                          <a:xfrm>
                            <a:off x="8" y="8"/>
                            <a:ext cx="99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D447FA3" id="Group 2" o:spid="_x0000_s1026" style="width:498.7pt;height:.75pt;mso-position-horizontal-relative:char;mso-position-vertical-relative:line" coordsize="99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s+fAIAAHcFAAAOAAAAZHJzL2Uyb0RvYy54bWykVNFu2yAUfZ+0f0B+Tx0nThZbdaopTvrS&#10;bZXafQABbKNhQEDjRNP+fRdw0q592NTlgYAv93DuOVyub469QAdmLFeySrKraYKYJIpy2VbJ98fd&#10;ZJUg67CkWCjJquTEbHKz/vjhetAlm6lOCcoMAhBpy0FXSeecLtPUko712F4pzSQEG2V67GBp2pQa&#10;PAB6L9LZdLpMB2WoNoowa+FrHYPJOuA3DSPuW9NY5pCoEuDmwmjCuPdjur7GZWuw7jgZaeB3sOgx&#10;l3DoBarGDqMnw99A9ZwYZVXjrojqU9U0nLBQA1STTV9Vc2vUkw61tOXQ6otMIO0rnd4NS74e7g3i&#10;tEpmCZK4B4vCqWjmpRl0W8KOW6Mf9L2J9cH0TpEfFsLp67hft3Ez2g9fFAU4/ORUkObYmN5DQNHo&#10;GBw4XRxgR4cIfFzO5/O8AKMIxIrFbBENIh24+CaJdNsxrSg+5TEnCxkpLuNpgeHIyJcDl8w+62j/&#10;T8eHDmsW7LFepVHH+VnHOy4ZmkcZw4aNjBqSoxw1RFJtOixbFqAeTxr0ynwG8H6R4hcWDPirptBs&#10;oNsqinbWtCgWRRQnXPeLNrjUxrpbpnrkJ1UigHBwCh/urPMsnrd446TacSHgOy6FRAMYlOV5SLBK&#10;cOqDPmZNu98Igw7Y91z4hZIg8nIb3G1JA1jHMN2Oc4e5iHM4XEiPB3UAnXEWm+pnMS22q+0qn+Sz&#10;5XaST+t68nm3ySfLXfZpUc/rzabOfnlqWV52nFImPbtzg2f5vxk/PjWxNS8tfpEh/RM96AVkz/+B&#10;dDDSexdv317R0705Gwx3MVgdujukjS+Rfz5ersOu5/dy/RsAAP//AwBQSwMEFAAGAAgAAAAhAK8c&#10;odzbAAAAAwEAAA8AAABkcnMvZG93bnJldi54bWxMj0FLw0AQhe+C/2EZwZvdRK22MZtSinoqBVuh&#10;eJsm0yQ0Oxuy2yT9945e9PJgeI/3vkkXo21UT52vHRuIJxEo4twVNZcGPndvdzNQPiAX2DgmAxfy&#10;sMiur1JMCjfwB/XbUCopYZ+ggSqENtHa5xVZ9BPXEot3dJ3FIGdX6qLDQcpto++j6ElbrFkWKmxp&#10;VVF+2p6tgfcBh+VD/NqvT8fV5Ws33ezXMRlzezMuX0AFGsNfGH7wBR0yYTq4MxdeNQbkkfCr4s3n&#10;z4+gDhKags5S/Z89+wYAAP//AwBQSwECLQAUAAYACAAAACEAtoM4kv4AAADhAQAAEwAAAAAAAAAA&#10;AAAAAAAAAAAAW0NvbnRlbnRfVHlwZXNdLnhtbFBLAQItABQABgAIAAAAIQA4/SH/1gAAAJQBAAAL&#10;AAAAAAAAAAAAAAAAAC8BAABfcmVscy8ucmVsc1BLAQItABQABgAIAAAAIQCKTZs+fAIAAHcFAAAO&#10;AAAAAAAAAAAAAAAAAC4CAABkcnMvZTJvRG9jLnhtbFBLAQItABQABgAIAAAAIQCvHKHc2wAAAAMB&#10;AAAPAAAAAAAAAAAAAAAAANYEAABkcnMvZG93bnJldi54bWxQSwUGAAAAAAQABADzAAAA3gUAAAAA&#10;">
                <v:line id="Line 3" o:spid="_x0000_s1027" style="position:absolute;visibility:visible;mso-wrap-style:square" from="8,8" to="9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p w14:paraId="0256FF70" w14:textId="77777777" w:rsidR="00090606" w:rsidRDefault="008A7EC7">
      <w:pPr>
        <w:ind w:left="1000" w:right="7355"/>
        <w:rPr>
          <w:rFonts w:ascii="Georgia"/>
          <w:sz w:val="28"/>
        </w:rPr>
      </w:pPr>
      <w:r>
        <w:rPr>
          <w:rFonts w:ascii="Georgia"/>
          <w:sz w:val="28"/>
        </w:rPr>
        <w:t>Water Supply Division September 2017</w:t>
      </w:r>
    </w:p>
    <w:p w14:paraId="5E921EF0" w14:textId="77777777" w:rsidR="00090606" w:rsidRDefault="00090606">
      <w:pPr>
        <w:pStyle w:val="BodyText"/>
        <w:spacing w:before="7"/>
        <w:ind w:left="0"/>
        <w:rPr>
          <w:rFonts w:ascii="Georgia"/>
          <w:sz w:val="19"/>
        </w:rPr>
      </w:pPr>
    </w:p>
    <w:p w14:paraId="26B9C052" w14:textId="77777777" w:rsidR="00090606" w:rsidRDefault="008A7EC7">
      <w:pPr>
        <w:spacing w:before="99" w:line="388" w:lineRule="exact"/>
        <w:ind w:left="3814" w:right="3975"/>
        <w:jc w:val="center"/>
        <w:rPr>
          <w:rFonts w:ascii="Verdana"/>
          <w:b/>
          <w:sz w:val="32"/>
        </w:rPr>
      </w:pPr>
      <w:r>
        <w:rPr>
          <w:rFonts w:ascii="Verdana"/>
          <w:b/>
          <w:sz w:val="32"/>
        </w:rPr>
        <w:t>Boil Water Notices</w:t>
      </w:r>
    </w:p>
    <w:p w14:paraId="3F13E02F" w14:textId="77777777" w:rsidR="00090606" w:rsidRDefault="008A7EC7">
      <w:pPr>
        <w:pStyle w:val="BodyText"/>
        <w:ind w:left="100" w:right="632"/>
      </w:pPr>
      <w:r>
        <w:t>A Boil Water Notice (BWN) is issued as a precaution or notification to protect consumers from drinking water that may have been contaminated with disease causing organisms (also called pathogens). BWNs are typically issued when an unexpected condition has caused a potential for biological contamination of potable drinking water in a public water system.</w:t>
      </w:r>
    </w:p>
    <w:p w14:paraId="788C2F1B" w14:textId="77777777" w:rsidR="00090606" w:rsidRDefault="00090606">
      <w:pPr>
        <w:pStyle w:val="BodyText"/>
        <w:spacing w:before="10"/>
        <w:ind w:left="0"/>
        <w:rPr>
          <w:sz w:val="21"/>
        </w:rPr>
      </w:pPr>
    </w:p>
    <w:p w14:paraId="34F81C51" w14:textId="77777777" w:rsidR="00090606" w:rsidRDefault="008A7EC7">
      <w:pPr>
        <w:pStyle w:val="BodyText"/>
        <w:spacing w:before="1"/>
        <w:ind w:left="100" w:right="632"/>
      </w:pPr>
      <w:r>
        <w:t>BWNs are instituted by public water systems (PWSs) as specified by Title 30 Texas Administrative Code (TAC) §290.46(q) in the event of:</w:t>
      </w:r>
    </w:p>
    <w:p w14:paraId="2D630C7E" w14:textId="77777777" w:rsidR="00090606" w:rsidRDefault="008A7EC7">
      <w:pPr>
        <w:pStyle w:val="ListParagraph"/>
        <w:numPr>
          <w:ilvl w:val="0"/>
          <w:numId w:val="3"/>
        </w:numPr>
        <w:tabs>
          <w:tab w:val="left" w:pos="820"/>
          <w:tab w:val="left" w:pos="821"/>
        </w:tabs>
        <w:spacing w:before="1" w:line="269" w:lineRule="exact"/>
        <w:ind w:hanging="360"/>
      </w:pPr>
      <w:r>
        <w:t>low distribution pressures (below 20 pounds per square inch</w:t>
      </w:r>
      <w:r>
        <w:rPr>
          <w:spacing w:val="-30"/>
        </w:rPr>
        <w:t xml:space="preserve"> </w:t>
      </w:r>
      <w:r>
        <w:t>(psi)),</w:t>
      </w:r>
    </w:p>
    <w:p w14:paraId="4BE31909" w14:textId="77777777" w:rsidR="00090606" w:rsidRDefault="008A7EC7">
      <w:pPr>
        <w:pStyle w:val="ListParagraph"/>
        <w:numPr>
          <w:ilvl w:val="0"/>
          <w:numId w:val="3"/>
        </w:numPr>
        <w:tabs>
          <w:tab w:val="left" w:pos="820"/>
          <w:tab w:val="left" w:pos="821"/>
        </w:tabs>
        <w:ind w:hanging="360"/>
      </w:pPr>
      <w:r>
        <w:t>water</w:t>
      </w:r>
      <w:r>
        <w:rPr>
          <w:spacing w:val="-7"/>
        </w:rPr>
        <w:t xml:space="preserve"> </w:t>
      </w:r>
      <w:r>
        <w:t>outages,</w:t>
      </w:r>
    </w:p>
    <w:p w14:paraId="6244513F" w14:textId="77777777" w:rsidR="00090606" w:rsidRDefault="008A7EC7">
      <w:pPr>
        <w:pStyle w:val="ListParagraph"/>
        <w:numPr>
          <w:ilvl w:val="0"/>
          <w:numId w:val="3"/>
        </w:numPr>
        <w:tabs>
          <w:tab w:val="left" w:pos="820"/>
          <w:tab w:val="left" w:pos="821"/>
        </w:tabs>
        <w:ind w:hanging="360"/>
      </w:pPr>
      <w:r>
        <w:t xml:space="preserve">microbiological samples found to contain </w:t>
      </w:r>
      <w:r>
        <w:rPr>
          <w:i/>
        </w:rPr>
        <w:t>E.</w:t>
      </w:r>
      <w:r>
        <w:rPr>
          <w:i/>
          <w:spacing w:val="-17"/>
        </w:rPr>
        <w:t xml:space="preserve"> </w:t>
      </w:r>
      <w:r>
        <w:rPr>
          <w:i/>
        </w:rPr>
        <w:t>coli</w:t>
      </w:r>
      <w:r>
        <w:t>,</w:t>
      </w:r>
    </w:p>
    <w:p w14:paraId="71EDDC10" w14:textId="77777777" w:rsidR="00090606" w:rsidRDefault="008A7EC7">
      <w:pPr>
        <w:pStyle w:val="ListParagraph"/>
        <w:numPr>
          <w:ilvl w:val="0"/>
          <w:numId w:val="3"/>
        </w:numPr>
        <w:tabs>
          <w:tab w:val="left" w:pos="820"/>
          <w:tab w:val="left" w:pos="821"/>
        </w:tabs>
        <w:ind w:hanging="360"/>
      </w:pPr>
      <w:r>
        <w:t>failure to maintain adequate disinfectant</w:t>
      </w:r>
      <w:r>
        <w:rPr>
          <w:spacing w:val="-25"/>
        </w:rPr>
        <w:t xml:space="preserve"> </w:t>
      </w:r>
      <w:r>
        <w:t>residuals,</w:t>
      </w:r>
    </w:p>
    <w:p w14:paraId="4D204D85" w14:textId="77777777" w:rsidR="00090606" w:rsidRDefault="008A7EC7">
      <w:pPr>
        <w:pStyle w:val="ListParagraph"/>
        <w:numPr>
          <w:ilvl w:val="0"/>
          <w:numId w:val="3"/>
        </w:numPr>
        <w:tabs>
          <w:tab w:val="left" w:pos="820"/>
          <w:tab w:val="left" w:pos="821"/>
        </w:tabs>
        <w:ind w:hanging="360"/>
      </w:pPr>
      <w:r>
        <w:t>elevated finished surface water</w:t>
      </w:r>
      <w:r>
        <w:rPr>
          <w:spacing w:val="-21"/>
        </w:rPr>
        <w:t xml:space="preserve"> </w:t>
      </w:r>
      <w:r>
        <w:t>turbidities,</w:t>
      </w:r>
    </w:p>
    <w:p w14:paraId="6B4ABCF5" w14:textId="77777777" w:rsidR="00090606" w:rsidRDefault="008A7EC7">
      <w:pPr>
        <w:pStyle w:val="ListParagraph"/>
        <w:numPr>
          <w:ilvl w:val="0"/>
          <w:numId w:val="3"/>
        </w:numPr>
        <w:tabs>
          <w:tab w:val="left" w:pos="820"/>
          <w:tab w:val="left" w:pos="821"/>
        </w:tabs>
        <w:spacing w:before="15" w:line="256" w:lineRule="exact"/>
        <w:ind w:right="531" w:hanging="360"/>
      </w:pPr>
      <w:proofErr w:type="gramStart"/>
      <w:r>
        <w:t>or</w:t>
      </w:r>
      <w:proofErr w:type="gramEnd"/>
      <w:r>
        <w:t xml:space="preserve"> other conditions which indicate that the </w:t>
      </w:r>
      <w:proofErr w:type="spellStart"/>
      <w:r>
        <w:t>potability</w:t>
      </w:r>
      <w:proofErr w:type="spellEnd"/>
      <w:r>
        <w:t xml:space="preserve"> of the drinking water </w:t>
      </w:r>
      <w:r>
        <w:rPr>
          <w:spacing w:val="-2"/>
        </w:rPr>
        <w:t xml:space="preserve">supply </w:t>
      </w:r>
      <w:r>
        <w:t>has been compromised.</w:t>
      </w:r>
    </w:p>
    <w:p w14:paraId="2D3FF472" w14:textId="77777777" w:rsidR="00090606" w:rsidRDefault="00090606">
      <w:pPr>
        <w:pStyle w:val="BodyText"/>
        <w:spacing w:before="6"/>
        <w:ind w:left="0"/>
        <w:rPr>
          <w:sz w:val="21"/>
        </w:rPr>
      </w:pPr>
    </w:p>
    <w:p w14:paraId="0991938E" w14:textId="77777777" w:rsidR="00090606" w:rsidRDefault="008A7EC7">
      <w:pPr>
        <w:pStyle w:val="BodyText"/>
        <w:ind w:left="100" w:right="215"/>
      </w:pPr>
      <w:r>
        <w:t>The PWS should issue a BWN, with specific mandatory language within 24 hours of meeting any of the criteria listed above. The BWN should be delivered using one or more delivery method, see table below, based on the public water system type.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7787"/>
      </w:tblGrid>
      <w:tr w:rsidR="00090606" w14:paraId="38D424AE" w14:textId="77777777">
        <w:trPr>
          <w:trHeight w:hRule="exact" w:val="269"/>
        </w:trPr>
        <w:tc>
          <w:tcPr>
            <w:tcW w:w="3152" w:type="dxa"/>
          </w:tcPr>
          <w:p w14:paraId="30D675C5" w14:textId="77777777" w:rsidR="00090606" w:rsidRDefault="008A7EC7">
            <w:pPr>
              <w:pStyle w:val="TableParagraph"/>
              <w:ind w:left="103" w:firstLine="0"/>
            </w:pPr>
            <w:r>
              <w:t>System Type</w:t>
            </w:r>
          </w:p>
        </w:tc>
        <w:tc>
          <w:tcPr>
            <w:tcW w:w="7787" w:type="dxa"/>
          </w:tcPr>
          <w:p w14:paraId="2E70CF79" w14:textId="77777777" w:rsidR="00090606" w:rsidRDefault="008A7EC7">
            <w:pPr>
              <w:pStyle w:val="TableParagraph"/>
              <w:ind w:left="103" w:firstLine="0"/>
            </w:pPr>
            <w:r>
              <w:t>Delivery Options</w:t>
            </w:r>
          </w:p>
        </w:tc>
      </w:tr>
      <w:tr w:rsidR="00090606" w14:paraId="169C0552" w14:textId="77777777">
        <w:trPr>
          <w:trHeight w:hRule="exact" w:val="1080"/>
        </w:trPr>
        <w:tc>
          <w:tcPr>
            <w:tcW w:w="3152" w:type="dxa"/>
          </w:tcPr>
          <w:p w14:paraId="3D900B3E" w14:textId="77777777" w:rsidR="00090606" w:rsidRDefault="008A7EC7">
            <w:pPr>
              <w:pStyle w:val="TableParagraph"/>
              <w:ind w:left="103" w:firstLine="0"/>
            </w:pPr>
            <w:r>
              <w:t>Community</w:t>
            </w:r>
          </w:p>
        </w:tc>
        <w:tc>
          <w:tcPr>
            <w:tcW w:w="7787" w:type="dxa"/>
          </w:tcPr>
          <w:p w14:paraId="5A0C0FCE" w14:textId="77777777" w:rsidR="00090606" w:rsidRDefault="008A7EC7">
            <w:pPr>
              <w:pStyle w:val="TableParagraph"/>
              <w:numPr>
                <w:ilvl w:val="0"/>
                <w:numId w:val="2"/>
              </w:numPr>
              <w:tabs>
                <w:tab w:val="left" w:pos="823"/>
                <w:tab w:val="left" w:pos="824"/>
              </w:tabs>
              <w:spacing w:line="269" w:lineRule="exact"/>
            </w:pPr>
            <w:r>
              <w:t>Furnish copy to Radio/TV in the service</w:t>
            </w:r>
            <w:r>
              <w:rPr>
                <w:spacing w:val="-14"/>
              </w:rPr>
              <w:t xml:space="preserve"> </w:t>
            </w:r>
            <w:r>
              <w:t>area</w:t>
            </w:r>
          </w:p>
          <w:p w14:paraId="1BC73A37" w14:textId="77777777" w:rsidR="00090606" w:rsidRDefault="008A7EC7">
            <w:pPr>
              <w:pStyle w:val="TableParagraph"/>
              <w:numPr>
                <w:ilvl w:val="0"/>
                <w:numId w:val="2"/>
              </w:numPr>
              <w:tabs>
                <w:tab w:val="left" w:pos="823"/>
                <w:tab w:val="left" w:pos="824"/>
              </w:tabs>
              <w:spacing w:line="268" w:lineRule="exact"/>
            </w:pPr>
            <w:r>
              <w:t>Publication in a local, daily</w:t>
            </w:r>
            <w:r>
              <w:rPr>
                <w:spacing w:val="-20"/>
              </w:rPr>
              <w:t xml:space="preserve"> </w:t>
            </w:r>
            <w:r>
              <w:t>newspaper</w:t>
            </w:r>
          </w:p>
          <w:p w14:paraId="4511046E" w14:textId="77777777" w:rsidR="00090606" w:rsidRDefault="008A7EC7">
            <w:pPr>
              <w:pStyle w:val="TableParagraph"/>
              <w:numPr>
                <w:ilvl w:val="0"/>
                <w:numId w:val="2"/>
              </w:numPr>
              <w:tabs>
                <w:tab w:val="left" w:pos="823"/>
                <w:tab w:val="left" w:pos="824"/>
              </w:tabs>
              <w:spacing w:line="268" w:lineRule="exact"/>
            </w:pPr>
            <w:r>
              <w:t>Direct delivery or continuous</w:t>
            </w:r>
            <w:r>
              <w:rPr>
                <w:spacing w:val="-15"/>
              </w:rPr>
              <w:t xml:space="preserve"> </w:t>
            </w:r>
            <w:r>
              <w:t>posting**</w:t>
            </w:r>
          </w:p>
          <w:p w14:paraId="38E3CF7F" w14:textId="77777777" w:rsidR="00090606" w:rsidRDefault="008A7EC7">
            <w:pPr>
              <w:pStyle w:val="TableParagraph"/>
              <w:numPr>
                <w:ilvl w:val="0"/>
                <w:numId w:val="2"/>
              </w:numPr>
              <w:tabs>
                <w:tab w:val="left" w:pos="823"/>
                <w:tab w:val="left" w:pos="824"/>
              </w:tabs>
              <w:spacing w:line="240" w:lineRule="auto"/>
            </w:pPr>
            <w:r>
              <w:t>Electronic delivery or alert systems (e.g. reverse</w:t>
            </w:r>
            <w:r>
              <w:rPr>
                <w:spacing w:val="-26"/>
              </w:rPr>
              <w:t xml:space="preserve"> </w:t>
            </w:r>
            <w:r>
              <w:t>911)</w:t>
            </w:r>
          </w:p>
        </w:tc>
      </w:tr>
      <w:tr w:rsidR="00090606" w14:paraId="052230AF" w14:textId="77777777">
        <w:trPr>
          <w:trHeight w:hRule="exact" w:val="545"/>
        </w:trPr>
        <w:tc>
          <w:tcPr>
            <w:tcW w:w="3152" w:type="dxa"/>
          </w:tcPr>
          <w:p w14:paraId="7A84C785" w14:textId="77777777" w:rsidR="00090606" w:rsidRDefault="008A7EC7">
            <w:pPr>
              <w:pStyle w:val="TableParagraph"/>
              <w:ind w:left="103" w:firstLine="0"/>
            </w:pPr>
            <w:bookmarkStart w:id="0" w:name="_GoBack"/>
            <w:r>
              <w:t>Non-community</w:t>
            </w:r>
          </w:p>
        </w:tc>
        <w:tc>
          <w:tcPr>
            <w:tcW w:w="7787" w:type="dxa"/>
          </w:tcPr>
          <w:p w14:paraId="52E72403" w14:textId="77777777" w:rsidR="00090606" w:rsidRDefault="008A7EC7">
            <w:pPr>
              <w:pStyle w:val="TableParagraph"/>
              <w:numPr>
                <w:ilvl w:val="0"/>
                <w:numId w:val="1"/>
              </w:numPr>
              <w:tabs>
                <w:tab w:val="left" w:pos="823"/>
                <w:tab w:val="left" w:pos="824"/>
              </w:tabs>
              <w:spacing w:line="269" w:lineRule="exact"/>
            </w:pPr>
            <w:r>
              <w:t>Direct delivery or continuous</w:t>
            </w:r>
            <w:r>
              <w:rPr>
                <w:spacing w:val="-13"/>
              </w:rPr>
              <w:t xml:space="preserve"> </w:t>
            </w:r>
            <w:r>
              <w:t>posting**</w:t>
            </w:r>
          </w:p>
          <w:p w14:paraId="085D7A1C" w14:textId="77777777" w:rsidR="00090606" w:rsidRDefault="008A7EC7">
            <w:pPr>
              <w:pStyle w:val="TableParagraph"/>
              <w:numPr>
                <w:ilvl w:val="0"/>
                <w:numId w:val="1"/>
              </w:numPr>
              <w:tabs>
                <w:tab w:val="left" w:pos="823"/>
                <w:tab w:val="left" w:pos="824"/>
              </w:tabs>
              <w:spacing w:line="269" w:lineRule="exact"/>
            </w:pPr>
            <w:r>
              <w:t>Electronic delivery or alert systems (e.g. reverse</w:t>
            </w:r>
            <w:r>
              <w:rPr>
                <w:spacing w:val="-26"/>
              </w:rPr>
              <w:t xml:space="preserve"> </w:t>
            </w:r>
            <w:r>
              <w:t>911)</w:t>
            </w:r>
          </w:p>
        </w:tc>
      </w:tr>
    </w:tbl>
    <w:bookmarkEnd w:id="0"/>
    <w:p w14:paraId="0BB25902" w14:textId="77777777" w:rsidR="00090606" w:rsidRDefault="008A7EC7">
      <w:pPr>
        <w:ind w:left="100" w:right="402"/>
        <w:rPr>
          <w:i/>
        </w:rPr>
      </w:pPr>
      <w:r>
        <w:rPr>
          <w:i/>
        </w:rPr>
        <w:t>** If continuous posting is used, the posting must remain in place for as long as the violation exists or seven days, whichever is longer.</w:t>
      </w:r>
    </w:p>
    <w:p w14:paraId="540D5461" w14:textId="77777777" w:rsidR="00090606" w:rsidRDefault="00090606">
      <w:pPr>
        <w:pStyle w:val="BodyText"/>
        <w:ind w:left="0"/>
        <w:rPr>
          <w:i/>
        </w:rPr>
      </w:pPr>
    </w:p>
    <w:p w14:paraId="1E6ADEFD" w14:textId="77777777" w:rsidR="00090606" w:rsidRDefault="008A7EC7">
      <w:pPr>
        <w:pStyle w:val="BodyText"/>
        <w:ind w:left="100" w:right="863"/>
      </w:pPr>
      <w:r>
        <w:t>A PWS shall not rescind a BWN until it has provided required compliance documentation to the TCEQ which shows that the PWS has met the following requirements:</w:t>
      </w:r>
    </w:p>
    <w:p w14:paraId="04F949E9" w14:textId="77777777" w:rsidR="00090606" w:rsidRDefault="008A7EC7">
      <w:pPr>
        <w:pStyle w:val="ListParagraph"/>
        <w:numPr>
          <w:ilvl w:val="0"/>
          <w:numId w:val="3"/>
        </w:numPr>
        <w:tabs>
          <w:tab w:val="left" w:pos="820"/>
          <w:tab w:val="left" w:pos="821"/>
        </w:tabs>
        <w:spacing w:before="1" w:line="240" w:lineRule="auto"/>
        <w:ind w:right="449" w:hanging="360"/>
      </w:pPr>
      <w:r>
        <w:t>Water distribution pressures greater than 20 psi are consistently maintained throughout the distribution</w:t>
      </w:r>
      <w:r>
        <w:rPr>
          <w:spacing w:val="-8"/>
        </w:rPr>
        <w:t xml:space="preserve"> </w:t>
      </w:r>
      <w:r>
        <w:t>system.</w:t>
      </w:r>
    </w:p>
    <w:p w14:paraId="6A951362" w14:textId="77777777" w:rsidR="00090606" w:rsidRDefault="008A7EC7">
      <w:pPr>
        <w:pStyle w:val="ListParagraph"/>
        <w:numPr>
          <w:ilvl w:val="0"/>
          <w:numId w:val="3"/>
        </w:numPr>
        <w:tabs>
          <w:tab w:val="left" w:pos="820"/>
          <w:tab w:val="left" w:pos="821"/>
        </w:tabs>
        <w:spacing w:before="3" w:line="237" w:lineRule="auto"/>
        <w:ind w:right="426" w:hanging="360"/>
      </w:pPr>
      <w:r>
        <w:t xml:space="preserve">The distribution system has been </w:t>
      </w:r>
      <w:proofErr w:type="gramStart"/>
      <w:r>
        <w:t>flushed,</w:t>
      </w:r>
      <w:proofErr w:type="gramEnd"/>
      <w:r>
        <w:t xml:space="preserve"> disinfectant residuals are consistently maintained above the minimum regulatory requirements (0.2 mg/L free chlorine or 0.5 mg/L total chlorine) in each finished water storage tank and throughout the distribution</w:t>
      </w:r>
      <w:r>
        <w:rPr>
          <w:spacing w:val="-36"/>
        </w:rPr>
        <w:t xml:space="preserve"> </w:t>
      </w:r>
      <w:r>
        <w:t>system.</w:t>
      </w:r>
    </w:p>
    <w:p w14:paraId="74158917" w14:textId="77777777" w:rsidR="00090606" w:rsidRDefault="008A7EC7">
      <w:pPr>
        <w:pStyle w:val="ListParagraph"/>
        <w:numPr>
          <w:ilvl w:val="0"/>
          <w:numId w:val="3"/>
        </w:numPr>
        <w:tabs>
          <w:tab w:val="left" w:pos="820"/>
          <w:tab w:val="left" w:pos="821"/>
        </w:tabs>
        <w:spacing w:before="2" w:line="240" w:lineRule="auto"/>
        <w:ind w:right="390" w:hanging="360"/>
      </w:pPr>
      <w:r>
        <w:t>PWSs with surface water and groundwater under the influence of surface water sources only: water entering the distribution system has a turbidity level that is consistently maintained below 1.0</w:t>
      </w:r>
      <w:r>
        <w:rPr>
          <w:spacing w:val="-3"/>
        </w:rPr>
        <w:t xml:space="preserve"> </w:t>
      </w:r>
      <w:r>
        <w:t>NTU.</w:t>
      </w:r>
    </w:p>
    <w:p w14:paraId="7939262C" w14:textId="77777777" w:rsidR="00090606" w:rsidRDefault="008A7EC7">
      <w:pPr>
        <w:pStyle w:val="ListParagraph"/>
        <w:numPr>
          <w:ilvl w:val="0"/>
          <w:numId w:val="3"/>
        </w:numPr>
        <w:tabs>
          <w:tab w:val="left" w:pos="820"/>
          <w:tab w:val="left" w:pos="821"/>
        </w:tabs>
        <w:spacing w:before="3" w:line="237" w:lineRule="auto"/>
        <w:ind w:right="331" w:hanging="360"/>
      </w:pPr>
      <w:r>
        <w:t>Once the PWS has met all requirements above: Microbiological samples marked “special” collected from representative locations throughout the system and analyzed by an</w:t>
      </w:r>
      <w:r>
        <w:rPr>
          <w:spacing w:val="-33"/>
        </w:rPr>
        <w:t xml:space="preserve"> </w:t>
      </w:r>
      <w:r>
        <w:t>accredited lab are found negative for total coliform</w:t>
      </w:r>
      <w:r>
        <w:rPr>
          <w:spacing w:val="-23"/>
        </w:rPr>
        <w:t xml:space="preserve"> </w:t>
      </w:r>
      <w:r>
        <w:t>organisms.</w:t>
      </w:r>
    </w:p>
    <w:p w14:paraId="207A58B4" w14:textId="77777777" w:rsidR="00090606" w:rsidRDefault="00090606">
      <w:pPr>
        <w:pStyle w:val="BodyText"/>
        <w:ind w:left="0"/>
      </w:pPr>
    </w:p>
    <w:p w14:paraId="10A9A877" w14:textId="77777777" w:rsidR="00090606" w:rsidRDefault="008A7EC7">
      <w:pPr>
        <w:pStyle w:val="BodyText"/>
        <w:ind w:left="100" w:right="740"/>
      </w:pPr>
      <w:r w:rsidRPr="005702D4">
        <w:rPr>
          <w:highlight w:val="yellow"/>
        </w:rPr>
        <w:t>A copy of the BWN must be submitted to the TCEQ within 24 hours of distribution.</w:t>
      </w:r>
      <w:r>
        <w:t xml:space="preserve"> The initial BWN Certificate of Delivery, the Rescind Notice, and its Certificates of Delivery should be submitted to the TCEQ within 10 days of distribution to the public as proof of public notification. The documentation can be submitted via e-mail at &lt;</w:t>
      </w:r>
      <w:hyperlink r:id="rId7" w:history="1">
        <w:r w:rsidRPr="00DA6264">
          <w:rPr>
            <w:rStyle w:val="Hyperlink"/>
            <w:u w:color="0000FF"/>
          </w:rPr>
          <w:t>PWSBWN@tceq.texas.gov</w:t>
        </w:r>
      </w:hyperlink>
      <w:r>
        <w:t>&gt;.</w:t>
      </w:r>
    </w:p>
    <w:sectPr w:rsidR="00090606">
      <w:type w:val="continuous"/>
      <w:pgSz w:w="12240" w:h="15840"/>
      <w:pgMar w:top="92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altName w:val="Book Antiqua"/>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F4C"/>
    <w:multiLevelType w:val="hybridMultilevel"/>
    <w:tmpl w:val="F54E536C"/>
    <w:lvl w:ilvl="0" w:tplc="A6582C92">
      <w:numFmt w:val="bullet"/>
      <w:lvlText w:val=""/>
      <w:lvlJc w:val="left"/>
      <w:pPr>
        <w:ind w:left="820" w:hanging="361"/>
      </w:pPr>
      <w:rPr>
        <w:rFonts w:ascii="Symbol" w:eastAsia="Symbol" w:hAnsi="Symbol" w:cs="Symbol" w:hint="default"/>
        <w:w w:val="100"/>
        <w:sz w:val="22"/>
        <w:szCs w:val="22"/>
      </w:rPr>
    </w:lvl>
    <w:lvl w:ilvl="1" w:tplc="5190773A">
      <w:numFmt w:val="bullet"/>
      <w:lvlText w:val="•"/>
      <w:lvlJc w:val="left"/>
      <w:pPr>
        <w:ind w:left="1854" w:hanging="361"/>
      </w:pPr>
      <w:rPr>
        <w:rFonts w:hint="default"/>
      </w:rPr>
    </w:lvl>
    <w:lvl w:ilvl="2" w:tplc="6CF20C66">
      <w:numFmt w:val="bullet"/>
      <w:lvlText w:val="•"/>
      <w:lvlJc w:val="left"/>
      <w:pPr>
        <w:ind w:left="2888" w:hanging="361"/>
      </w:pPr>
      <w:rPr>
        <w:rFonts w:hint="default"/>
      </w:rPr>
    </w:lvl>
    <w:lvl w:ilvl="3" w:tplc="FB406A7C">
      <w:numFmt w:val="bullet"/>
      <w:lvlText w:val="•"/>
      <w:lvlJc w:val="left"/>
      <w:pPr>
        <w:ind w:left="3922" w:hanging="361"/>
      </w:pPr>
      <w:rPr>
        <w:rFonts w:hint="default"/>
      </w:rPr>
    </w:lvl>
    <w:lvl w:ilvl="4" w:tplc="866C40E8">
      <w:numFmt w:val="bullet"/>
      <w:lvlText w:val="•"/>
      <w:lvlJc w:val="left"/>
      <w:pPr>
        <w:ind w:left="4956" w:hanging="361"/>
      </w:pPr>
      <w:rPr>
        <w:rFonts w:hint="default"/>
      </w:rPr>
    </w:lvl>
    <w:lvl w:ilvl="5" w:tplc="78FCBF96">
      <w:numFmt w:val="bullet"/>
      <w:lvlText w:val="•"/>
      <w:lvlJc w:val="left"/>
      <w:pPr>
        <w:ind w:left="5990" w:hanging="361"/>
      </w:pPr>
      <w:rPr>
        <w:rFonts w:hint="default"/>
      </w:rPr>
    </w:lvl>
    <w:lvl w:ilvl="6" w:tplc="8136846E">
      <w:numFmt w:val="bullet"/>
      <w:lvlText w:val="•"/>
      <w:lvlJc w:val="left"/>
      <w:pPr>
        <w:ind w:left="7024" w:hanging="361"/>
      </w:pPr>
      <w:rPr>
        <w:rFonts w:hint="default"/>
      </w:rPr>
    </w:lvl>
    <w:lvl w:ilvl="7" w:tplc="FE9EA76C">
      <w:numFmt w:val="bullet"/>
      <w:lvlText w:val="•"/>
      <w:lvlJc w:val="left"/>
      <w:pPr>
        <w:ind w:left="8058" w:hanging="361"/>
      </w:pPr>
      <w:rPr>
        <w:rFonts w:hint="default"/>
      </w:rPr>
    </w:lvl>
    <w:lvl w:ilvl="8" w:tplc="79AE8CFC">
      <w:numFmt w:val="bullet"/>
      <w:lvlText w:val="•"/>
      <w:lvlJc w:val="left"/>
      <w:pPr>
        <w:ind w:left="9092" w:hanging="361"/>
      </w:pPr>
      <w:rPr>
        <w:rFonts w:hint="default"/>
      </w:rPr>
    </w:lvl>
  </w:abstractNum>
  <w:abstractNum w:abstractNumId="1">
    <w:nsid w:val="40E26EC5"/>
    <w:multiLevelType w:val="hybridMultilevel"/>
    <w:tmpl w:val="9216E8B6"/>
    <w:lvl w:ilvl="0" w:tplc="4344EA52">
      <w:numFmt w:val="bullet"/>
      <w:lvlText w:val=""/>
      <w:lvlJc w:val="left"/>
      <w:pPr>
        <w:ind w:left="823" w:hanging="360"/>
      </w:pPr>
      <w:rPr>
        <w:rFonts w:ascii="Symbol" w:eastAsia="Symbol" w:hAnsi="Symbol" w:cs="Symbol" w:hint="default"/>
        <w:w w:val="100"/>
        <w:sz w:val="22"/>
        <w:szCs w:val="22"/>
      </w:rPr>
    </w:lvl>
    <w:lvl w:ilvl="1" w:tplc="FCB8AB82">
      <w:numFmt w:val="bullet"/>
      <w:lvlText w:val="•"/>
      <w:lvlJc w:val="left"/>
      <w:pPr>
        <w:ind w:left="1515" w:hanging="360"/>
      </w:pPr>
      <w:rPr>
        <w:rFonts w:hint="default"/>
      </w:rPr>
    </w:lvl>
    <w:lvl w:ilvl="2" w:tplc="2BD4E8E0">
      <w:numFmt w:val="bullet"/>
      <w:lvlText w:val="•"/>
      <w:lvlJc w:val="left"/>
      <w:pPr>
        <w:ind w:left="2211" w:hanging="360"/>
      </w:pPr>
      <w:rPr>
        <w:rFonts w:hint="default"/>
      </w:rPr>
    </w:lvl>
    <w:lvl w:ilvl="3" w:tplc="5AF60162">
      <w:numFmt w:val="bullet"/>
      <w:lvlText w:val="•"/>
      <w:lvlJc w:val="left"/>
      <w:pPr>
        <w:ind w:left="2907" w:hanging="360"/>
      </w:pPr>
      <w:rPr>
        <w:rFonts w:hint="default"/>
      </w:rPr>
    </w:lvl>
    <w:lvl w:ilvl="4" w:tplc="651E8708">
      <w:numFmt w:val="bullet"/>
      <w:lvlText w:val="•"/>
      <w:lvlJc w:val="left"/>
      <w:pPr>
        <w:ind w:left="3603" w:hanging="360"/>
      </w:pPr>
      <w:rPr>
        <w:rFonts w:hint="default"/>
      </w:rPr>
    </w:lvl>
    <w:lvl w:ilvl="5" w:tplc="AC6C24E2">
      <w:numFmt w:val="bullet"/>
      <w:lvlText w:val="•"/>
      <w:lvlJc w:val="left"/>
      <w:pPr>
        <w:ind w:left="4298" w:hanging="360"/>
      </w:pPr>
      <w:rPr>
        <w:rFonts w:hint="default"/>
      </w:rPr>
    </w:lvl>
    <w:lvl w:ilvl="6" w:tplc="57A6FB6E">
      <w:numFmt w:val="bullet"/>
      <w:lvlText w:val="•"/>
      <w:lvlJc w:val="left"/>
      <w:pPr>
        <w:ind w:left="4994" w:hanging="360"/>
      </w:pPr>
      <w:rPr>
        <w:rFonts w:hint="default"/>
      </w:rPr>
    </w:lvl>
    <w:lvl w:ilvl="7" w:tplc="52747F80">
      <w:numFmt w:val="bullet"/>
      <w:lvlText w:val="•"/>
      <w:lvlJc w:val="left"/>
      <w:pPr>
        <w:ind w:left="5690" w:hanging="360"/>
      </w:pPr>
      <w:rPr>
        <w:rFonts w:hint="default"/>
      </w:rPr>
    </w:lvl>
    <w:lvl w:ilvl="8" w:tplc="DCAA165C">
      <w:numFmt w:val="bullet"/>
      <w:lvlText w:val="•"/>
      <w:lvlJc w:val="left"/>
      <w:pPr>
        <w:ind w:left="6386" w:hanging="360"/>
      </w:pPr>
      <w:rPr>
        <w:rFonts w:hint="default"/>
      </w:rPr>
    </w:lvl>
  </w:abstractNum>
  <w:abstractNum w:abstractNumId="2">
    <w:nsid w:val="4E66769F"/>
    <w:multiLevelType w:val="hybridMultilevel"/>
    <w:tmpl w:val="E5186CCE"/>
    <w:lvl w:ilvl="0" w:tplc="8E0E26AC">
      <w:numFmt w:val="bullet"/>
      <w:lvlText w:val=""/>
      <w:lvlJc w:val="left"/>
      <w:pPr>
        <w:ind w:left="823" w:hanging="360"/>
      </w:pPr>
      <w:rPr>
        <w:rFonts w:ascii="Symbol" w:eastAsia="Symbol" w:hAnsi="Symbol" w:cs="Symbol" w:hint="default"/>
        <w:w w:val="100"/>
        <w:sz w:val="22"/>
        <w:szCs w:val="22"/>
      </w:rPr>
    </w:lvl>
    <w:lvl w:ilvl="1" w:tplc="EB72F3D6">
      <w:numFmt w:val="bullet"/>
      <w:lvlText w:val="•"/>
      <w:lvlJc w:val="left"/>
      <w:pPr>
        <w:ind w:left="1515" w:hanging="360"/>
      </w:pPr>
      <w:rPr>
        <w:rFonts w:hint="default"/>
      </w:rPr>
    </w:lvl>
    <w:lvl w:ilvl="2" w:tplc="22AEEBF0">
      <w:numFmt w:val="bullet"/>
      <w:lvlText w:val="•"/>
      <w:lvlJc w:val="left"/>
      <w:pPr>
        <w:ind w:left="2211" w:hanging="360"/>
      </w:pPr>
      <w:rPr>
        <w:rFonts w:hint="default"/>
      </w:rPr>
    </w:lvl>
    <w:lvl w:ilvl="3" w:tplc="D6B21A7A">
      <w:numFmt w:val="bullet"/>
      <w:lvlText w:val="•"/>
      <w:lvlJc w:val="left"/>
      <w:pPr>
        <w:ind w:left="2907" w:hanging="360"/>
      </w:pPr>
      <w:rPr>
        <w:rFonts w:hint="default"/>
      </w:rPr>
    </w:lvl>
    <w:lvl w:ilvl="4" w:tplc="20129C9A">
      <w:numFmt w:val="bullet"/>
      <w:lvlText w:val="•"/>
      <w:lvlJc w:val="left"/>
      <w:pPr>
        <w:ind w:left="3603" w:hanging="360"/>
      </w:pPr>
      <w:rPr>
        <w:rFonts w:hint="default"/>
      </w:rPr>
    </w:lvl>
    <w:lvl w:ilvl="5" w:tplc="34D4FE60">
      <w:numFmt w:val="bullet"/>
      <w:lvlText w:val="•"/>
      <w:lvlJc w:val="left"/>
      <w:pPr>
        <w:ind w:left="4298" w:hanging="360"/>
      </w:pPr>
      <w:rPr>
        <w:rFonts w:hint="default"/>
      </w:rPr>
    </w:lvl>
    <w:lvl w:ilvl="6" w:tplc="3064EB3C">
      <w:numFmt w:val="bullet"/>
      <w:lvlText w:val="•"/>
      <w:lvlJc w:val="left"/>
      <w:pPr>
        <w:ind w:left="4994" w:hanging="360"/>
      </w:pPr>
      <w:rPr>
        <w:rFonts w:hint="default"/>
      </w:rPr>
    </w:lvl>
    <w:lvl w:ilvl="7" w:tplc="FC9ECA58">
      <w:numFmt w:val="bullet"/>
      <w:lvlText w:val="•"/>
      <w:lvlJc w:val="left"/>
      <w:pPr>
        <w:ind w:left="5690" w:hanging="360"/>
      </w:pPr>
      <w:rPr>
        <w:rFonts w:hint="default"/>
      </w:rPr>
    </w:lvl>
    <w:lvl w:ilvl="8" w:tplc="3D2665BE">
      <w:numFmt w:val="bullet"/>
      <w:lvlText w:val="•"/>
      <w:lvlJc w:val="left"/>
      <w:pPr>
        <w:ind w:left="638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06"/>
    <w:rsid w:val="00090606"/>
    <w:rsid w:val="00094BD9"/>
    <w:rsid w:val="005702D4"/>
    <w:rsid w:val="006F6E17"/>
    <w:rsid w:val="008A7EC7"/>
    <w:rsid w:val="00B97CEC"/>
    <w:rsid w:val="00BB0DFF"/>
    <w:rsid w:val="00FC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spacing w:line="258" w:lineRule="exact"/>
      <w:ind w:left="823" w:hanging="360"/>
    </w:pPr>
  </w:style>
  <w:style w:type="character" w:styleId="Hyperlink">
    <w:name w:val="Hyperlink"/>
    <w:basedOn w:val="DefaultParagraphFont"/>
    <w:uiPriority w:val="99"/>
    <w:unhideWhenUsed/>
    <w:rsid w:val="008A7EC7"/>
    <w:rPr>
      <w:color w:val="0000FF" w:themeColor="hyperlink"/>
      <w:u w:val="single"/>
    </w:rPr>
  </w:style>
  <w:style w:type="character" w:customStyle="1" w:styleId="UnresolvedMention">
    <w:name w:val="Unresolved Mention"/>
    <w:basedOn w:val="DefaultParagraphFont"/>
    <w:uiPriority w:val="99"/>
    <w:semiHidden/>
    <w:unhideWhenUsed/>
    <w:rsid w:val="008A7EC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spacing w:line="258" w:lineRule="exact"/>
      <w:ind w:left="823" w:hanging="360"/>
    </w:pPr>
  </w:style>
  <w:style w:type="character" w:styleId="Hyperlink">
    <w:name w:val="Hyperlink"/>
    <w:basedOn w:val="DefaultParagraphFont"/>
    <w:uiPriority w:val="99"/>
    <w:unhideWhenUsed/>
    <w:rsid w:val="008A7EC7"/>
    <w:rPr>
      <w:color w:val="0000FF" w:themeColor="hyperlink"/>
      <w:u w:val="single"/>
    </w:rPr>
  </w:style>
  <w:style w:type="character" w:customStyle="1" w:styleId="UnresolvedMention">
    <w:name w:val="Unresolved Mention"/>
    <w:basedOn w:val="DefaultParagraphFont"/>
    <w:uiPriority w:val="99"/>
    <w:semiHidden/>
    <w:unhideWhenUsed/>
    <w:rsid w:val="008A7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WSBWN@tceq.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 </cp:lastModifiedBy>
  <cp:revision>2</cp:revision>
  <cp:lastPrinted>2019-09-16T18:48:00Z</cp:lastPrinted>
  <dcterms:created xsi:type="dcterms:W3CDTF">2019-09-16T19:10:00Z</dcterms:created>
  <dcterms:modified xsi:type="dcterms:W3CDTF">2019-09-16T19:10:00Z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2017-09-02T00:00:00Z</vt:filetime>
  </property>
  <property fmtid="{D5CDD505-2E9C-101B-9397-08002B2CF9AE}" pid="3" name="Creator">
    <vt:lpwstr>Microsoft® Word 2013</vt:lpwstr>
  </property>
  <property fmtid="{D5CDD505-2E9C-101B-9397-08002B2CF9AE}" pid="4" name="LastSaved">
    <vt:filetime>2018-04-17T00:00:00Z</vt:filetime>
  </property>
</Properties>
</file>